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AE52F6" w14:textId="77777777" w:rsidR="00A85B3B" w:rsidRPr="005E2EA5" w:rsidRDefault="00A85B3B" w:rsidP="00A85B3B">
      <w:pPr>
        <w:ind w:left="-567" w:right="-625"/>
        <w:jc w:val="both"/>
        <w:rPr>
          <w:b/>
          <w:sz w:val="22"/>
          <w:szCs w:val="22"/>
          <w:u w:val="single"/>
        </w:rPr>
      </w:pPr>
      <w:r w:rsidRPr="005E2EA5">
        <w:rPr>
          <w:b/>
          <w:sz w:val="22"/>
          <w:szCs w:val="22"/>
          <w:u w:val="single"/>
        </w:rPr>
        <w:t>Structured Reports for the Pathological Society Awards: Career Development Fellowships (CDF), Path Soc / J Shanks Fellowship, PhD Studentships &amp; Small Grant Awards</w:t>
      </w:r>
      <w:r w:rsidRPr="005E2EA5">
        <w:rPr>
          <w:sz w:val="22"/>
          <w:szCs w:val="22"/>
        </w:rPr>
        <w:t>.</w:t>
      </w:r>
    </w:p>
    <w:p w14:paraId="7AB18A0B" w14:textId="77777777" w:rsidR="00A85B3B" w:rsidRPr="005E2EA5" w:rsidRDefault="00A85B3B" w:rsidP="00A85B3B">
      <w:pPr>
        <w:ind w:left="-567" w:right="-625"/>
        <w:jc w:val="both"/>
        <w:rPr>
          <w:sz w:val="22"/>
          <w:szCs w:val="22"/>
        </w:rPr>
      </w:pPr>
    </w:p>
    <w:p w14:paraId="0809D0AB" w14:textId="77777777" w:rsidR="00A85B3B" w:rsidRPr="005E2EA5" w:rsidRDefault="00A85B3B" w:rsidP="00A85B3B">
      <w:pPr>
        <w:ind w:left="-567" w:right="-625"/>
        <w:jc w:val="both"/>
        <w:rPr>
          <w:sz w:val="22"/>
          <w:szCs w:val="22"/>
        </w:rPr>
      </w:pPr>
    </w:p>
    <w:p w14:paraId="7B96EF95" w14:textId="77777777" w:rsidR="00A85B3B" w:rsidRPr="005E2EA5" w:rsidRDefault="00A85B3B" w:rsidP="00A85B3B">
      <w:pPr>
        <w:ind w:left="-567" w:right="-625"/>
        <w:jc w:val="both"/>
        <w:rPr>
          <w:sz w:val="22"/>
          <w:szCs w:val="22"/>
        </w:rPr>
      </w:pPr>
      <w:r w:rsidRPr="005E2EA5">
        <w:rPr>
          <w:sz w:val="22"/>
          <w:szCs w:val="22"/>
        </w:rPr>
        <w:t>Reports from recipients of Career Development Fellowships (CDF), Path Soc / J Shanks Fellowship, PhD studentships &amp; Small Grants should be set out using the following subheadings and should consist of:</w:t>
      </w:r>
    </w:p>
    <w:p w14:paraId="6872218F" w14:textId="77777777" w:rsidR="00A85B3B" w:rsidRPr="005E2EA5" w:rsidRDefault="00A85B3B" w:rsidP="00A85B3B">
      <w:pPr>
        <w:ind w:left="-567" w:right="-625"/>
        <w:jc w:val="both"/>
        <w:rPr>
          <w:sz w:val="22"/>
          <w:szCs w:val="22"/>
        </w:rPr>
      </w:pPr>
    </w:p>
    <w:p w14:paraId="7D7E63A8" w14:textId="77777777" w:rsidR="00A85B3B" w:rsidRPr="005E2EA5" w:rsidRDefault="00A85B3B" w:rsidP="00A85B3B">
      <w:pPr>
        <w:ind w:left="-567" w:right="-625"/>
        <w:jc w:val="both"/>
        <w:rPr>
          <w:sz w:val="22"/>
          <w:szCs w:val="22"/>
        </w:rPr>
      </w:pPr>
      <w:r w:rsidRPr="005E2EA5">
        <w:rPr>
          <w:sz w:val="22"/>
          <w:szCs w:val="22"/>
        </w:rPr>
        <w:t xml:space="preserve">Annual Reports: 1 A4 page of text </w:t>
      </w:r>
    </w:p>
    <w:p w14:paraId="74C215C5" w14:textId="77777777" w:rsidR="00A85B3B" w:rsidRPr="005E2EA5" w:rsidRDefault="00A85B3B" w:rsidP="00A85B3B">
      <w:pPr>
        <w:ind w:left="-567" w:right="-625"/>
        <w:jc w:val="both"/>
        <w:rPr>
          <w:sz w:val="22"/>
          <w:szCs w:val="22"/>
        </w:rPr>
      </w:pPr>
      <w:r w:rsidRPr="005E2EA5">
        <w:rPr>
          <w:sz w:val="22"/>
          <w:szCs w:val="22"/>
        </w:rPr>
        <w:t>Final reports: 2 A4 pages of text</w:t>
      </w:r>
    </w:p>
    <w:p w14:paraId="54CA1C94" w14:textId="77777777" w:rsidR="00A85B3B" w:rsidRPr="005E2EA5" w:rsidRDefault="00A85B3B" w:rsidP="00A85B3B">
      <w:pPr>
        <w:ind w:left="-567" w:right="-625"/>
        <w:jc w:val="both"/>
        <w:rPr>
          <w:sz w:val="22"/>
          <w:szCs w:val="22"/>
        </w:rPr>
      </w:pPr>
    </w:p>
    <w:p w14:paraId="68B736E6" w14:textId="774545FD" w:rsidR="00A85B3B" w:rsidRPr="005E2EA5" w:rsidRDefault="00A85B3B" w:rsidP="00A85B3B">
      <w:pPr>
        <w:ind w:left="-567" w:right="-625"/>
        <w:jc w:val="both"/>
        <w:rPr>
          <w:b/>
          <w:sz w:val="22"/>
          <w:szCs w:val="22"/>
        </w:rPr>
      </w:pPr>
      <w:r w:rsidRPr="005E2EA5">
        <w:rPr>
          <w:b/>
          <w:sz w:val="22"/>
          <w:szCs w:val="22"/>
        </w:rPr>
        <w:t>Title</w:t>
      </w:r>
      <w:r>
        <w:rPr>
          <w:b/>
          <w:sz w:val="22"/>
          <w:szCs w:val="22"/>
        </w:rPr>
        <w:t>/Name</w:t>
      </w:r>
      <w:r w:rsidRPr="005E2EA5">
        <w:rPr>
          <w:b/>
          <w:sz w:val="22"/>
          <w:szCs w:val="22"/>
        </w:rPr>
        <w:t>:</w:t>
      </w:r>
      <w:r>
        <w:rPr>
          <w:b/>
          <w:sz w:val="22"/>
          <w:szCs w:val="22"/>
        </w:rPr>
        <w:t xml:space="preserve"> Dr William Dalleywater</w:t>
      </w:r>
    </w:p>
    <w:p w14:paraId="57C20D4A" w14:textId="7113D512" w:rsidR="00A85B3B" w:rsidRPr="005E2EA5" w:rsidRDefault="00A85B3B" w:rsidP="00A85B3B">
      <w:pPr>
        <w:ind w:left="-567" w:right="-625"/>
        <w:jc w:val="both"/>
        <w:rPr>
          <w:b/>
          <w:sz w:val="22"/>
          <w:szCs w:val="22"/>
        </w:rPr>
      </w:pPr>
      <w:r w:rsidRPr="005E2EA5">
        <w:rPr>
          <w:b/>
          <w:sz w:val="22"/>
          <w:szCs w:val="22"/>
        </w:rPr>
        <w:t xml:space="preserve">Address: </w:t>
      </w:r>
      <w:r>
        <w:rPr>
          <w:b/>
          <w:sz w:val="22"/>
          <w:szCs w:val="22"/>
        </w:rPr>
        <w:t>Biodiscovery Institute, University Park, University of Nottingham, NG7 2RD and Nottingham University Hospitals NHS Trust, Nottingham, NG7 2UH</w:t>
      </w:r>
    </w:p>
    <w:p w14:paraId="4A84B3C3" w14:textId="77777777" w:rsidR="00A85B3B" w:rsidRPr="005E2EA5" w:rsidRDefault="00A85B3B" w:rsidP="00A85B3B">
      <w:pPr>
        <w:ind w:left="-567" w:right="-625"/>
        <w:jc w:val="both"/>
        <w:rPr>
          <w:b/>
          <w:sz w:val="22"/>
          <w:szCs w:val="22"/>
        </w:rPr>
      </w:pPr>
    </w:p>
    <w:p w14:paraId="755E60A3" w14:textId="77777777" w:rsidR="00A85B3B" w:rsidRDefault="00A85B3B"/>
    <w:p w14:paraId="2369BE9E" w14:textId="77777777" w:rsidR="00A85B3B" w:rsidRDefault="00A85B3B">
      <w:pPr>
        <w:spacing w:after="160" w:line="259" w:lineRule="auto"/>
        <w:rPr>
          <w:b/>
          <w:bCs/>
        </w:rPr>
      </w:pPr>
      <w:r>
        <w:rPr>
          <w:b/>
          <w:bCs/>
        </w:rPr>
        <w:br w:type="page"/>
      </w:r>
    </w:p>
    <w:p w14:paraId="1A44C6FB" w14:textId="59DA3680" w:rsidR="00A85B3B" w:rsidRPr="00A85B3B" w:rsidRDefault="00A85B3B">
      <w:pPr>
        <w:rPr>
          <w:b/>
          <w:bCs/>
        </w:rPr>
      </w:pPr>
      <w:r w:rsidRPr="00A85B3B">
        <w:rPr>
          <w:b/>
          <w:bCs/>
        </w:rPr>
        <w:lastRenderedPageBreak/>
        <w:t xml:space="preserve">Aims, background of study and plan of investigation </w:t>
      </w:r>
    </w:p>
    <w:p w14:paraId="1EC13CAD" w14:textId="11DBE45E" w:rsidR="00630687" w:rsidRDefault="00A85B3B">
      <w:r>
        <w:t>Intestinal disease, in particular malignancy and inflammation, is the cause of substantial mortality and morbidity in the UK. The primary aim of my PhD project has been to create a platform for generating sections of personalised colonic tissue from induced pluripotent stem cells (IPSC). If successful, these sections could be used as colonic mucosal grafts to promote healing in patients with inflammatory bowel disease. Since they would be personalised</w:t>
      </w:r>
      <w:r w:rsidR="00C24BED">
        <w:t xml:space="preserve">, </w:t>
      </w:r>
      <w:r>
        <w:t xml:space="preserve">there would be no issue around graft rejection. During the first year of this project, I have been able to convert IPSCs into normal colonic epithelium which is stable in culture. This has led to the development of a 3D culture system which acts as an in vitro model of normal intestinal mucosa. In 3D culture conditions, these cells are capable of spontaneous crypt assembly (data presented at </w:t>
      </w:r>
      <w:proofErr w:type="spellStart"/>
      <w:r>
        <w:t>PathSoc</w:t>
      </w:r>
      <w:proofErr w:type="spellEnd"/>
      <w:r>
        <w:t xml:space="preserve"> Summer Meeting 2019</w:t>
      </w:r>
      <w:r w:rsidR="00C24BED">
        <w:t>/</w:t>
      </w:r>
      <w:r>
        <w:t>TERMIS-AM December 2019) and contain the differentiated cell types of the crypt</w:t>
      </w:r>
      <w:r w:rsidR="00C24BED">
        <w:t xml:space="preserve">. </w:t>
      </w:r>
      <w:r>
        <w:t xml:space="preserve">As well as intestinal epithelial cells, mesenchymal / fibroblast-like cells (expressing Vimentin / SMA) are present in proximity to the assembled crypts. </w:t>
      </w:r>
      <w:r w:rsidR="006F1EA1">
        <w:t>It has recently been demonstrated</w:t>
      </w:r>
      <w:r w:rsidR="002E75FE">
        <w:t xml:space="preserve"> by single-cell RNA sequencing</w:t>
      </w:r>
      <w:r w:rsidR="006F1EA1">
        <w:t xml:space="preserve"> that the intestinal mucosal stroma consists of at least five specialised cell types</w:t>
      </w:r>
      <w:r w:rsidR="009155A1">
        <w:t xml:space="preserve"> (</w:t>
      </w:r>
      <w:proofErr w:type="spellStart"/>
      <w:r w:rsidR="009155A1">
        <w:t>Kinchen</w:t>
      </w:r>
      <w:proofErr w:type="spellEnd"/>
      <w:r w:rsidR="009155A1">
        <w:t xml:space="preserve"> et al. 2018)</w:t>
      </w:r>
      <w:r w:rsidR="006F1EA1">
        <w:t xml:space="preserve">. </w:t>
      </w:r>
      <w:r w:rsidR="00D161E5">
        <w:t>T</w:t>
      </w:r>
      <w:r w:rsidR="00DC084D">
        <w:t xml:space="preserve">o investigate the full heterogeneity of </w:t>
      </w:r>
      <w:r w:rsidR="00F50AFA">
        <w:t xml:space="preserve">the generated cell types, more sophisticated sequencing </w:t>
      </w:r>
      <w:proofErr w:type="gramStart"/>
      <w:r w:rsidR="00F50AFA">
        <w:t>are</w:t>
      </w:r>
      <w:proofErr w:type="gramEnd"/>
      <w:r w:rsidR="00F50AFA">
        <w:t xml:space="preserve"> </w:t>
      </w:r>
      <w:r w:rsidR="002A145D">
        <w:t>required</w:t>
      </w:r>
      <w:r w:rsidR="002E75FE">
        <w:t xml:space="preserve"> (such as single-cell and spatial transcriptomics)</w:t>
      </w:r>
      <w:r w:rsidR="002A145D">
        <w:t xml:space="preserve">, enabling much more specific mapping of cell types against intestinal regions and microanatomical </w:t>
      </w:r>
      <w:r w:rsidR="002643BC">
        <w:t>locations.</w:t>
      </w:r>
      <w:r>
        <w:t xml:space="preserve"> </w:t>
      </w:r>
      <w:r w:rsidR="00F50AFA">
        <w:t>D</w:t>
      </w:r>
      <w:r>
        <w:t xml:space="preserve">eveloping novel ways of characterising these in vitro generated tissues could a) validate the model, by demonstrating similarity to in vivo tissues, thereby permitting use as an in vitro disease model; b) improve the model by understanding the interaction between signalling pathways. </w:t>
      </w:r>
    </w:p>
    <w:p w14:paraId="7F2BCDE2" w14:textId="62F8326D" w:rsidR="00A85B3B" w:rsidRDefault="00A85B3B">
      <w:r w:rsidRPr="00A85B3B">
        <w:rPr>
          <w:b/>
          <w:bCs/>
        </w:rPr>
        <w:t>Plan 1:</w:t>
      </w:r>
      <w:r>
        <w:t xml:space="preserve"> characterise the region-specific molecular markers of adult intestinal mucosa and compare to in vitro IPSC-derived intestinal mucosal tissue by RNA-</w:t>
      </w:r>
      <w:proofErr w:type="spellStart"/>
      <w:r>
        <w:t>seq</w:t>
      </w:r>
      <w:proofErr w:type="spellEnd"/>
    </w:p>
    <w:p w14:paraId="2EBD3000" w14:textId="216980FE" w:rsidR="00A85B3B" w:rsidRDefault="00A85B3B">
      <w:r w:rsidRPr="00A85B3B">
        <w:rPr>
          <w:b/>
          <w:bCs/>
        </w:rPr>
        <w:t>Plan 2:</w:t>
      </w:r>
      <w:r>
        <w:t xml:space="preserve"> develop a digital pathology platform for demonstrating the 3D growth of in vitro IPSC-derived intestinal mucosa tissue</w:t>
      </w:r>
    </w:p>
    <w:p w14:paraId="07C3CED1" w14:textId="1495EFD1" w:rsidR="00A85B3B" w:rsidRDefault="00A85B3B">
      <w:r w:rsidRPr="00A85B3B">
        <w:rPr>
          <w:b/>
          <w:bCs/>
        </w:rPr>
        <w:t>Plan 3:</w:t>
      </w:r>
      <w:r>
        <w:t xml:space="preserve"> demonstrate proof-of-principle that an IPSC-derived in vitro tissue system can model human intestinal </w:t>
      </w:r>
      <w:proofErr w:type="spellStart"/>
      <w:r>
        <w:t>adenomata</w:t>
      </w:r>
      <w:proofErr w:type="spellEnd"/>
      <w:r>
        <w:t xml:space="preserve"> by performing CRISPR/Cas9 knockout of APC</w:t>
      </w:r>
    </w:p>
    <w:p w14:paraId="571DCEE2" w14:textId="2D96A984" w:rsidR="00A85B3B" w:rsidRDefault="00A85B3B"/>
    <w:p w14:paraId="17F9AA4E" w14:textId="26D6C330" w:rsidR="00A85B3B" w:rsidRPr="002643BC" w:rsidRDefault="00A85B3B" w:rsidP="002643BC">
      <w:pPr>
        <w:spacing w:after="160" w:line="259" w:lineRule="auto"/>
      </w:pPr>
      <w:r w:rsidRPr="00B40852">
        <w:rPr>
          <w:b/>
          <w:bCs/>
        </w:rPr>
        <w:t>Results</w:t>
      </w:r>
    </w:p>
    <w:p w14:paraId="3B0B3ADF" w14:textId="51BF29D0" w:rsidR="00A66D86" w:rsidRPr="00353075" w:rsidRDefault="001504FE" w:rsidP="00353075">
      <w:pPr>
        <w:rPr>
          <w:b/>
          <w:bCs/>
        </w:rPr>
      </w:pPr>
      <w:r>
        <w:rPr>
          <w:b/>
          <w:bCs/>
        </w:rPr>
        <w:t>Plan 1</w:t>
      </w:r>
      <w:r w:rsidR="00B9658E">
        <w:rPr>
          <w:b/>
          <w:bCs/>
        </w:rPr>
        <w:t>:</w:t>
      </w:r>
      <w:r w:rsidR="00353075">
        <w:rPr>
          <w:b/>
          <w:bCs/>
        </w:rPr>
        <w:t xml:space="preserve"> </w:t>
      </w:r>
      <w:r w:rsidR="00891557">
        <w:t>IPSC</w:t>
      </w:r>
      <w:r w:rsidR="00A817E1">
        <w:t xml:space="preserve">s differentiated to intestinal mucosal cells using an existing described protocol were separated into epithelial and non-epithelial cells </w:t>
      </w:r>
      <w:proofErr w:type="gramStart"/>
      <w:r w:rsidR="00A817E1">
        <w:t>on the basis of</w:t>
      </w:r>
      <w:proofErr w:type="gramEnd"/>
      <w:r w:rsidR="00A817E1">
        <w:t xml:space="preserve"> </w:t>
      </w:r>
      <w:proofErr w:type="spellStart"/>
      <w:r w:rsidR="00A817E1">
        <w:t>EpCAM</w:t>
      </w:r>
      <w:proofErr w:type="spellEnd"/>
      <w:r w:rsidR="00A817E1">
        <w:t xml:space="preserve"> expression</w:t>
      </w:r>
      <w:r w:rsidR="00E03939">
        <w:t xml:space="preserve"> (Dalleywater et al., 2019)</w:t>
      </w:r>
      <w:r w:rsidR="00A817E1">
        <w:t xml:space="preserve">. </w:t>
      </w:r>
      <w:r w:rsidR="001C58EE">
        <w:t>These cells were characterised by RNA sequencing (Fig. A)</w:t>
      </w:r>
      <w:r w:rsidR="00ED3067">
        <w:t xml:space="preserve">. </w:t>
      </w:r>
      <w:r w:rsidR="007D2A23">
        <w:t>I</w:t>
      </w:r>
      <w:r w:rsidR="00ED3067">
        <w:t xml:space="preserve"> compared cells to known site-specific markers of epithelial and stromal populations in the intestine</w:t>
      </w:r>
      <w:r w:rsidR="006C7338">
        <w:t xml:space="preserve"> from previous RNA sequencing analyses. </w:t>
      </w:r>
      <w:r w:rsidR="00DF602C">
        <w:t>This</w:t>
      </w:r>
      <w:r w:rsidR="006C7338">
        <w:t xml:space="preserve"> analysis allowed </w:t>
      </w:r>
      <w:r w:rsidR="007D2A23">
        <w:t>me</w:t>
      </w:r>
      <w:r w:rsidR="006C7338">
        <w:t xml:space="preserve"> to confirm the intestinal epithelial identity of the </w:t>
      </w:r>
      <w:proofErr w:type="spellStart"/>
      <w:r w:rsidR="006C7338">
        <w:t>EpCAM</w:t>
      </w:r>
      <w:proofErr w:type="spellEnd"/>
      <w:r w:rsidR="006C7338">
        <w:t>+ cells</w:t>
      </w:r>
      <w:r w:rsidR="00FC1A2F">
        <w:t xml:space="preserve"> </w:t>
      </w:r>
      <w:proofErr w:type="gramStart"/>
      <w:r w:rsidR="00FC1A2F">
        <w:t>and also</w:t>
      </w:r>
      <w:proofErr w:type="gramEnd"/>
      <w:r w:rsidR="00FC1A2F">
        <w:t xml:space="preserve"> to identify key signalling pathways which drive </w:t>
      </w:r>
      <w:r w:rsidR="003319A5">
        <w:t xml:space="preserve">the bifurcation of endoderm and splanchnic mesoderm development at an early stage. </w:t>
      </w:r>
      <w:r w:rsidR="00C37356">
        <w:t xml:space="preserve">Gene set enrichment analysis also allowed us to demonstrate that </w:t>
      </w:r>
      <w:proofErr w:type="spellStart"/>
      <w:r w:rsidR="00C37356">
        <w:t>EpCAM</w:t>
      </w:r>
      <w:proofErr w:type="spellEnd"/>
      <w:r w:rsidR="00C37356">
        <w:t xml:space="preserve">+ cells </w:t>
      </w:r>
      <w:r w:rsidR="00C5612A">
        <w:t xml:space="preserve">were beginning to </w:t>
      </w:r>
      <w:r w:rsidR="005E4C9E">
        <w:t>polarise towards a large intestinal identity over a small intestinal</w:t>
      </w:r>
      <w:r w:rsidR="003319A5">
        <w:t xml:space="preserve"> </w:t>
      </w:r>
      <w:r w:rsidR="005E4C9E">
        <w:t xml:space="preserve">identity. </w:t>
      </w:r>
      <w:r w:rsidR="00D55B73">
        <w:t xml:space="preserve">RNA sequencing also permitted the characterisation of the </w:t>
      </w:r>
      <w:proofErr w:type="spellStart"/>
      <w:r w:rsidR="00D55B73">
        <w:t>EpCAM</w:t>
      </w:r>
      <w:proofErr w:type="spellEnd"/>
      <w:r w:rsidR="00D55B73">
        <w:t>- population</w:t>
      </w:r>
      <w:r w:rsidR="00A11483">
        <w:t xml:space="preserve">. This mapped onto established (COL1A1, Vimentin, ActA2) as well as novel (SOX6, </w:t>
      </w:r>
      <w:r w:rsidR="001D63DA">
        <w:t xml:space="preserve">Gli1) </w:t>
      </w:r>
      <w:r w:rsidR="00A11483">
        <w:t xml:space="preserve">intestinal mesenchymal </w:t>
      </w:r>
      <w:r w:rsidR="001D63DA">
        <w:t>stromal markers</w:t>
      </w:r>
      <w:r w:rsidR="00DF602C">
        <w:t xml:space="preserve"> (</w:t>
      </w:r>
      <w:proofErr w:type="spellStart"/>
      <w:r w:rsidR="00DF602C">
        <w:t>Kinchen</w:t>
      </w:r>
      <w:proofErr w:type="spellEnd"/>
      <w:r w:rsidR="00DF602C">
        <w:t xml:space="preserve"> et al. 201</w:t>
      </w:r>
      <w:r w:rsidR="00E03939">
        <w:t>8</w:t>
      </w:r>
      <w:r w:rsidR="00DF602C">
        <w:t>)</w:t>
      </w:r>
      <w:r w:rsidR="001D63DA">
        <w:t xml:space="preserve">. </w:t>
      </w:r>
      <w:r w:rsidR="002E7FB2">
        <w:t xml:space="preserve">To date this work has enabled </w:t>
      </w:r>
      <w:r w:rsidR="00AA6451">
        <w:t xml:space="preserve">substantial progress in characterising the populations generated by </w:t>
      </w:r>
      <w:r w:rsidR="00A34059">
        <w:t xml:space="preserve">my differentiation protocol as well as furthering understanding of the fundamental biological processes at play in </w:t>
      </w:r>
      <w:r w:rsidR="00C612B3">
        <w:t>driving</w:t>
      </w:r>
      <w:r w:rsidR="002106AF">
        <w:t xml:space="preserve"> the differentiation of</w:t>
      </w:r>
      <w:r w:rsidR="00C612B3">
        <w:t xml:space="preserve"> </w:t>
      </w:r>
      <w:r w:rsidR="002106AF">
        <w:t>intestinal epithelial and mesenchymal populations.</w:t>
      </w:r>
      <w:r w:rsidR="00D92C78">
        <w:t xml:space="preserve"> </w:t>
      </w:r>
      <w:r w:rsidR="007D2A23">
        <w:t>I</w:t>
      </w:r>
      <w:r w:rsidR="00BD5525">
        <w:t xml:space="preserve"> have recently submitted </w:t>
      </w:r>
      <w:r w:rsidR="002E7FB2">
        <w:t>further samples for single-cell RNA sequencing</w:t>
      </w:r>
      <w:r w:rsidR="002106AF">
        <w:t xml:space="preserve"> </w:t>
      </w:r>
      <w:r w:rsidR="00B60970">
        <w:t>(</w:t>
      </w:r>
      <w:proofErr w:type="spellStart"/>
      <w:r w:rsidR="00B60970">
        <w:t>EpCAM</w:t>
      </w:r>
      <w:proofErr w:type="spellEnd"/>
      <w:r w:rsidR="00B60970">
        <w:t xml:space="preserve">+ vs. </w:t>
      </w:r>
      <w:proofErr w:type="spellStart"/>
      <w:r w:rsidR="00B60970">
        <w:t>EpCAM</w:t>
      </w:r>
      <w:proofErr w:type="spellEnd"/>
      <w:r w:rsidR="00B60970">
        <w:t xml:space="preserve">-) and bulk RNA sequencing based on </w:t>
      </w:r>
      <w:r w:rsidR="007D2A23">
        <w:t xml:space="preserve">refined experimental protocols. </w:t>
      </w:r>
      <w:r w:rsidR="00826BBA">
        <w:t xml:space="preserve">I anticipate this </w:t>
      </w:r>
      <w:r w:rsidR="00F45BE4">
        <w:t xml:space="preserve">will allow much more granular characterisation of the generated cell types and through </w:t>
      </w:r>
      <w:r w:rsidR="0054339D">
        <w:t xml:space="preserve">bioinformatics tools specifically for single-cell RNA sequencing will </w:t>
      </w:r>
      <w:r w:rsidR="00A521EA">
        <w:t xml:space="preserve">generate valuable insights </w:t>
      </w:r>
      <w:r w:rsidR="00AC0D2D">
        <w:t>for</w:t>
      </w:r>
      <w:r w:rsidR="00A521EA">
        <w:t xml:space="preserve"> targeting signalling pathways</w:t>
      </w:r>
      <w:r w:rsidR="0041246D">
        <w:t>/</w:t>
      </w:r>
      <w:r w:rsidR="00A521EA">
        <w:t xml:space="preserve">environmental cues to </w:t>
      </w:r>
      <w:r w:rsidR="00A66D86">
        <w:t xml:space="preserve">refine </w:t>
      </w:r>
      <w:r w:rsidR="0041246D">
        <w:t>the</w:t>
      </w:r>
      <w:r w:rsidR="00A66D86">
        <w:t xml:space="preserve"> model further.</w:t>
      </w:r>
    </w:p>
    <w:p w14:paraId="3DAB0D1D" w14:textId="77777777" w:rsidR="00BE6F65" w:rsidRDefault="00A66D86">
      <w:pPr>
        <w:spacing w:after="160" w:line="259" w:lineRule="auto"/>
        <w:rPr>
          <w:b/>
          <w:bCs/>
        </w:rPr>
      </w:pPr>
      <w:r w:rsidRPr="00A66D86">
        <w:rPr>
          <w:b/>
          <w:bCs/>
        </w:rPr>
        <w:lastRenderedPageBreak/>
        <w:t>Plan 2</w:t>
      </w:r>
      <w:r w:rsidR="00B9658E">
        <w:rPr>
          <w:b/>
          <w:bCs/>
        </w:rPr>
        <w:t>:</w:t>
      </w:r>
      <w:r w:rsidR="00353075">
        <w:rPr>
          <w:b/>
          <w:bCs/>
        </w:rPr>
        <w:t xml:space="preserve"> </w:t>
      </w:r>
      <w:r w:rsidR="00907A27">
        <w:t>Our digital pathology platform in Nottingham is now well-optimised</w:t>
      </w:r>
      <w:r w:rsidR="00D110A4">
        <w:t xml:space="preserve"> (</w:t>
      </w:r>
      <w:proofErr w:type="spellStart"/>
      <w:r w:rsidR="00D110A4">
        <w:t>eg.</w:t>
      </w:r>
      <w:proofErr w:type="spellEnd"/>
      <w:r w:rsidR="00D110A4">
        <w:t xml:space="preserve"> Fig. C)</w:t>
      </w:r>
      <w:r w:rsidR="00071803">
        <w:t xml:space="preserve">. Using ImageJ </w:t>
      </w:r>
      <w:proofErr w:type="gramStart"/>
      <w:r w:rsidR="00071803">
        <w:t>software</w:t>
      </w:r>
      <w:proofErr w:type="gramEnd"/>
      <w:r w:rsidR="00071803">
        <w:t xml:space="preserve"> I have developed a </w:t>
      </w:r>
      <w:r w:rsidR="0075746A">
        <w:t xml:space="preserve">system for registration and alignment of digital pathology images and have used this to </w:t>
      </w:r>
      <w:r w:rsidR="001568AD">
        <w:t>produce reconstructions over a small number of serial sections</w:t>
      </w:r>
      <w:r w:rsidR="00564EBE">
        <w:t xml:space="preserve">. This system is still being refined and expanded to generate more sophisticated reconstructions over large numbers of serial sections. </w:t>
      </w:r>
      <w:r w:rsidR="00DC3308">
        <w:t>This will enable morphometric analyses of specific events such as crypt formation, polyp formation</w:t>
      </w:r>
      <w:r w:rsidR="008942ED">
        <w:t xml:space="preserve"> and stromal density.</w:t>
      </w:r>
    </w:p>
    <w:p w14:paraId="4DD7EB8C" w14:textId="2B56D80C" w:rsidR="00917001" w:rsidRPr="00353075" w:rsidRDefault="008942ED">
      <w:pPr>
        <w:spacing w:after="160" w:line="259" w:lineRule="auto"/>
        <w:rPr>
          <w:b/>
          <w:bCs/>
        </w:rPr>
      </w:pPr>
      <w:r w:rsidRPr="008942ED">
        <w:rPr>
          <w:b/>
          <w:bCs/>
        </w:rPr>
        <w:t>Plan 3</w:t>
      </w:r>
      <w:r w:rsidR="00B9658E">
        <w:rPr>
          <w:b/>
          <w:bCs/>
        </w:rPr>
        <w:t>:</w:t>
      </w:r>
      <w:r w:rsidR="00353075">
        <w:rPr>
          <w:b/>
          <w:bCs/>
        </w:rPr>
        <w:t xml:space="preserve"> </w:t>
      </w:r>
      <w:r w:rsidR="00681819">
        <w:t>CRISPR APC</w:t>
      </w:r>
      <w:r w:rsidR="006D71C2">
        <w:t xml:space="preserve"> knockout</w:t>
      </w:r>
      <w:r w:rsidR="00681819">
        <w:t xml:space="preserve"> </w:t>
      </w:r>
      <w:r w:rsidR="00580818">
        <w:t>was successfully performed in t</w:t>
      </w:r>
      <w:r w:rsidR="00681819">
        <w:t>wo IPSC lines</w:t>
      </w:r>
      <w:r w:rsidR="00580818">
        <w:t xml:space="preserve"> (Fig</w:t>
      </w:r>
      <w:r w:rsidR="006D71C2">
        <w:t>.</w:t>
      </w:r>
      <w:r w:rsidR="00580818">
        <w:t xml:space="preserve"> B</w:t>
      </w:r>
      <w:r w:rsidR="002A49C4">
        <w:t xml:space="preserve">). </w:t>
      </w:r>
      <w:r w:rsidR="003C55FA">
        <w:t xml:space="preserve">Compared with control IPSCs, after the differentiation protocol, </w:t>
      </w:r>
      <w:r w:rsidR="00030980">
        <w:t xml:space="preserve">IPSC ΔAPC expressed greater levels of the epithelial marker </w:t>
      </w:r>
      <w:proofErr w:type="spellStart"/>
      <w:r w:rsidR="00030980">
        <w:t>EpCAM</w:t>
      </w:r>
      <w:proofErr w:type="spellEnd"/>
      <w:r w:rsidR="00030980">
        <w:t xml:space="preserve">. </w:t>
      </w:r>
      <w:r w:rsidR="006D71C2">
        <w:t xml:space="preserve">In 3D organotypic cultures (Fig. C), </w:t>
      </w:r>
      <w:r w:rsidR="00230DFD">
        <w:t xml:space="preserve">various growth factor conditions were tested with differentiated control and ΔAPC IPSC. </w:t>
      </w:r>
      <w:r w:rsidR="007B728C">
        <w:t xml:space="preserve">Compared with control IPSC, ΔAPC epithelium was more stratified </w:t>
      </w:r>
      <w:r w:rsidR="00533CBF">
        <w:t xml:space="preserve">and retained viability even when </w:t>
      </w:r>
      <w:proofErr w:type="spellStart"/>
      <w:r w:rsidR="00533CBF">
        <w:t>Wnt</w:t>
      </w:r>
      <w:proofErr w:type="spellEnd"/>
      <w:r w:rsidR="00533CBF">
        <w:t xml:space="preserve"> ligand stimulation was withdrawn or suppressed</w:t>
      </w:r>
      <w:r w:rsidR="00666704">
        <w:t xml:space="preserve"> (data not shown), except when β-catenin </w:t>
      </w:r>
      <w:r w:rsidR="007457A0">
        <w:t xml:space="preserve">activity was challenged with ICG-001. </w:t>
      </w:r>
      <w:r w:rsidR="00F07B82">
        <w:t>Although IPSC-ΔAPC derived intestinal epithelium was more stratified</w:t>
      </w:r>
      <w:r w:rsidR="00C42D5F">
        <w:t xml:space="preserve"> under baseline growth factor conditions, no polyp formation was seen. However, when TGF-β was added to medium, multiple polypoid structures began to form</w:t>
      </w:r>
      <w:r w:rsidR="00512D93">
        <w:t xml:space="preserve"> (Fig. C</w:t>
      </w:r>
      <w:r w:rsidR="001743AF">
        <w:t xml:space="preserve"> right</w:t>
      </w:r>
      <w:r w:rsidR="00512D93">
        <w:t>).</w:t>
      </w:r>
      <w:r w:rsidR="001743AF">
        <w:t xml:space="preserve"> In control (WT) conditions, the addition of TGF-β instead drove </w:t>
      </w:r>
      <w:r w:rsidR="00F976A0">
        <w:t xml:space="preserve">fibrosis which was not seen with IPSC ΔAPC derived cultures. </w:t>
      </w:r>
      <w:r w:rsidR="00142D95">
        <w:t>Samples of</w:t>
      </w:r>
      <w:r w:rsidR="00917001">
        <w:t xml:space="preserve"> differentiated cells derived from</w:t>
      </w:r>
      <w:r w:rsidR="00142D95">
        <w:t xml:space="preserve"> IPSC-ΔAPC</w:t>
      </w:r>
      <w:r w:rsidR="00917001">
        <w:t xml:space="preserve"> cultures have recently been submitted for RNA sequencing to understand the observed phenomena further.</w:t>
      </w:r>
    </w:p>
    <w:p w14:paraId="73BC681A" w14:textId="17892D90" w:rsidR="00805736" w:rsidRDefault="00D92C78">
      <w:pPr>
        <w:spacing w:after="160" w:line="259" w:lineRule="auto"/>
      </w:pPr>
      <w:r w:rsidRPr="00D92C78">
        <w:rPr>
          <w:b/>
          <w:bCs/>
        </w:rPr>
        <w:t>Conclusions</w:t>
      </w:r>
      <w:r w:rsidR="00B9658E">
        <w:rPr>
          <w:b/>
          <w:bCs/>
        </w:rPr>
        <w:t>:</w:t>
      </w:r>
      <w:r w:rsidR="00805736">
        <w:rPr>
          <w:b/>
          <w:bCs/>
        </w:rPr>
        <w:t xml:space="preserve"> </w:t>
      </w:r>
      <w:r w:rsidR="00161276">
        <w:t xml:space="preserve">I have demonstrated </w:t>
      </w:r>
      <w:r w:rsidR="003360D4">
        <w:t>that multiple</w:t>
      </w:r>
      <w:r w:rsidR="00161276">
        <w:t xml:space="preserve"> </w:t>
      </w:r>
      <w:r w:rsidR="00C77F95">
        <w:t xml:space="preserve">intestinal </w:t>
      </w:r>
      <w:r w:rsidR="00161276">
        <w:t xml:space="preserve">mesenchymal stromal populations </w:t>
      </w:r>
      <w:r w:rsidR="003360D4">
        <w:t xml:space="preserve">can be derived </w:t>
      </w:r>
      <w:r w:rsidR="00C77F95">
        <w:t xml:space="preserve">alongside epithelial populations from IPSCs. </w:t>
      </w:r>
      <w:r w:rsidR="006C7099">
        <w:t>I anticipate deeper u</w:t>
      </w:r>
      <w:r w:rsidR="00C77F95">
        <w:t>nderstanding</w:t>
      </w:r>
      <w:r w:rsidR="006C7099">
        <w:t xml:space="preserve"> of</w:t>
      </w:r>
      <w:r w:rsidR="00C77F95">
        <w:t xml:space="preserve"> how these </w:t>
      </w:r>
      <w:r w:rsidR="006C7099">
        <w:t xml:space="preserve">populations form </w:t>
      </w:r>
      <w:r w:rsidR="001823F0">
        <w:t xml:space="preserve">once further RNA sequencing analyses are completed soon (sequencing </w:t>
      </w:r>
      <w:r w:rsidR="00353075">
        <w:t xml:space="preserve">currently being performed). </w:t>
      </w:r>
      <w:r w:rsidR="00805736">
        <w:t xml:space="preserve">Proof-of-concept </w:t>
      </w:r>
      <w:r w:rsidR="00C9311B">
        <w:t xml:space="preserve">CRISPR knockout of APC in IPSCs has demonstrated the importance of </w:t>
      </w:r>
      <w:r w:rsidR="009C28A0">
        <w:t xml:space="preserve">canonical </w:t>
      </w:r>
      <w:proofErr w:type="spellStart"/>
      <w:r w:rsidR="009C28A0">
        <w:t>Wnt</w:t>
      </w:r>
      <w:proofErr w:type="spellEnd"/>
      <w:r w:rsidR="009C28A0">
        <w:t xml:space="preserve"> in driving epithelial differentiation</w:t>
      </w:r>
      <w:r w:rsidR="00090F1D">
        <w:t xml:space="preserve">, which is also being further characterised by RNA sequencing. </w:t>
      </w:r>
      <w:r w:rsidR="00C87979">
        <w:t xml:space="preserve">Organotypic modelling of cells differentiated following APC knockout has </w:t>
      </w:r>
      <w:r w:rsidR="003942E6">
        <w:t xml:space="preserve">highlighted a </w:t>
      </w:r>
      <w:r w:rsidR="00211BDB">
        <w:t xml:space="preserve">possible </w:t>
      </w:r>
      <w:r w:rsidR="003942E6">
        <w:t xml:space="preserve">role for TGF-β in promoting polyp </w:t>
      </w:r>
      <w:r w:rsidR="00805736">
        <w:t>formation</w:t>
      </w:r>
      <w:r w:rsidR="00211BDB">
        <w:t>, which would merit further investigation.</w:t>
      </w:r>
    </w:p>
    <w:p w14:paraId="0B1B41DC" w14:textId="47C174AC" w:rsidR="00C24BED" w:rsidRDefault="00E50915">
      <w:pPr>
        <w:spacing w:after="160" w:line="259" w:lineRule="auto"/>
      </w:pPr>
      <w:r w:rsidRPr="00E50915">
        <w:rPr>
          <w:b/>
          <w:bCs/>
        </w:rPr>
        <w:t>How closely have the original aims been met</w:t>
      </w:r>
      <w:r w:rsidR="00B9658E">
        <w:rPr>
          <w:b/>
          <w:bCs/>
        </w:rPr>
        <w:t>:</w:t>
      </w:r>
      <w:r w:rsidR="00C24BED">
        <w:rPr>
          <w:b/>
          <w:bCs/>
        </w:rPr>
        <w:t xml:space="preserve"> </w:t>
      </w:r>
      <w:r w:rsidR="00801200">
        <w:t xml:space="preserve">At the time </w:t>
      </w:r>
      <w:r w:rsidR="007D0FA9">
        <w:t>of application for the small grant, Covid-19 was unknown</w:t>
      </w:r>
      <w:r w:rsidR="007219D1">
        <w:t>; I am grateful to the Society</w:t>
      </w:r>
      <w:r w:rsidR="00C24BED">
        <w:t xml:space="preserve"> for understanding and flexibility</w:t>
      </w:r>
      <w:r w:rsidR="007219D1">
        <w:t xml:space="preserve"> </w:t>
      </w:r>
      <w:r w:rsidR="00C24BED">
        <w:t>in</w:t>
      </w:r>
      <w:r w:rsidR="007219D1">
        <w:t xml:space="preserve"> extending the grant to take account </w:t>
      </w:r>
      <w:r w:rsidR="00D45302">
        <w:t>of</w:t>
      </w:r>
      <w:r w:rsidR="00ED0950">
        <w:t xml:space="preserve"> my</w:t>
      </w:r>
      <w:r w:rsidR="00D45302">
        <w:t xml:space="preserve"> </w:t>
      </w:r>
      <w:r w:rsidR="00ED0950">
        <w:t xml:space="preserve">temporary </w:t>
      </w:r>
      <w:r w:rsidR="00D45302">
        <w:t xml:space="preserve">return to NHS service. Despite the challenges of adapting to changes in </w:t>
      </w:r>
      <w:r w:rsidR="003C07CC">
        <w:t xml:space="preserve">laboratory working, the project has managed to continue successfully and meet the </w:t>
      </w:r>
      <w:r w:rsidR="00ED0950">
        <w:t>original aims</w:t>
      </w:r>
      <w:r w:rsidR="00C475E7">
        <w:t xml:space="preserve"> albeit with some delay</w:t>
      </w:r>
      <w:r w:rsidR="00211BDB">
        <w:t>s</w:t>
      </w:r>
      <w:r w:rsidR="00C475E7">
        <w:t xml:space="preserve">. The original aims have in fact been extended as </w:t>
      </w:r>
      <w:r w:rsidR="00D968AC">
        <w:t xml:space="preserve">I have been able to perform single cell RNA sequencing as well as the originally planned bulk RNA sequencing </w:t>
      </w:r>
      <w:proofErr w:type="gramStart"/>
      <w:r w:rsidR="00D968AC">
        <w:t>in order to</w:t>
      </w:r>
      <w:proofErr w:type="gramEnd"/>
      <w:r w:rsidR="00D968AC">
        <w:t xml:space="preserve"> gain much greater insight into </w:t>
      </w:r>
      <w:r w:rsidR="00D51221">
        <w:t xml:space="preserve">heterogeneity of cell </w:t>
      </w:r>
      <w:r w:rsidR="00970B3B">
        <w:t>communities.</w:t>
      </w:r>
      <w:r w:rsidR="00D968AC">
        <w:t xml:space="preserve"> </w:t>
      </w:r>
    </w:p>
    <w:p w14:paraId="69232F60" w14:textId="77777777" w:rsidR="00AC0D2D" w:rsidRDefault="00C24BED">
      <w:pPr>
        <w:spacing w:after="160" w:line="259" w:lineRule="auto"/>
      </w:pPr>
      <w:r w:rsidRPr="001623BC">
        <w:rPr>
          <w:b/>
          <w:bCs/>
        </w:rPr>
        <w:t>Output</w:t>
      </w:r>
      <w:r w:rsidR="001623BC" w:rsidRPr="001623BC">
        <w:rPr>
          <w:b/>
          <w:bCs/>
        </w:rPr>
        <w:t>s</w:t>
      </w:r>
      <w:r w:rsidR="00B9658E">
        <w:rPr>
          <w:b/>
          <w:bCs/>
        </w:rPr>
        <w:t xml:space="preserve">: </w:t>
      </w:r>
      <w:r w:rsidR="001623BC">
        <w:t>I was awarded a</w:t>
      </w:r>
      <w:r w:rsidR="00B9658E">
        <w:t>n additional £7,250 grant from MRC-Impact to perform spatial transcriptomics on tissues from organotypic cultures.</w:t>
      </w:r>
      <w:r w:rsidR="007800E2">
        <w:t xml:space="preserve"> </w:t>
      </w:r>
      <w:r w:rsidR="00C84794">
        <w:t xml:space="preserve">Data from my PhD including RNA-sequencing and image analyses enabled by </w:t>
      </w:r>
      <w:r w:rsidR="00F06FDD">
        <w:t>this small grant is currently being prepared for submission</w:t>
      </w:r>
      <w:r w:rsidR="007B5B38">
        <w:t xml:space="preserve">. The Pathological Society will be duly </w:t>
      </w:r>
      <w:proofErr w:type="gramStart"/>
      <w:r w:rsidR="007B5B38">
        <w:t>acknowledged</w:t>
      </w:r>
      <w:proofErr w:type="gramEnd"/>
      <w:r w:rsidR="007B5B38">
        <w:t xml:space="preserve"> and a copy</w:t>
      </w:r>
      <w:r w:rsidR="00B1359E">
        <w:t xml:space="preserve"> of the resulting manuscript forwarded.</w:t>
      </w:r>
      <w:r w:rsidR="00970B3B">
        <w:t xml:space="preserve"> </w:t>
      </w:r>
    </w:p>
    <w:p w14:paraId="3DCCB0D7" w14:textId="2DB3E349" w:rsidR="009B465E" w:rsidRPr="007800E2" w:rsidRDefault="00B1359E">
      <w:pPr>
        <w:spacing w:after="160" w:line="259" w:lineRule="auto"/>
      </w:pPr>
      <w:r w:rsidRPr="008F1E2E">
        <w:rPr>
          <w:b/>
          <w:bCs/>
        </w:rPr>
        <w:t>Further funding:</w:t>
      </w:r>
      <w:r>
        <w:t xml:space="preserve"> I </w:t>
      </w:r>
      <w:r w:rsidR="008F1E2E">
        <w:t>intend on applying for further funding to develop this model further for</w:t>
      </w:r>
      <w:r w:rsidR="00BE6F65">
        <w:t xml:space="preserve"> A) modelling of intestinal development and disease and B)</w:t>
      </w:r>
      <w:r w:rsidR="008F1E2E">
        <w:t xml:space="preserve"> </w:t>
      </w:r>
      <w:r w:rsidR="00BE6F65">
        <w:t>application as a regenerative medicine platform.</w:t>
      </w:r>
      <w:r w:rsidR="009B465E" w:rsidRPr="00E50915">
        <w:rPr>
          <w:b/>
          <w:bCs/>
        </w:rPr>
        <w:br w:type="page"/>
      </w:r>
    </w:p>
    <w:p w14:paraId="67B808E7" w14:textId="5EF0BF69" w:rsidR="00A85B3B" w:rsidRDefault="009B465E">
      <w:r>
        <w:rPr>
          <w:noProof/>
        </w:rPr>
        <w:lastRenderedPageBreak/>
        <w:drawing>
          <wp:inline distT="0" distB="0" distL="0" distR="0" wp14:anchorId="731B9912" wp14:editId="4B847061">
            <wp:extent cx="5731510" cy="72275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5731510" cy="7227570"/>
                    </a:xfrm>
                    <a:prstGeom prst="rect">
                      <a:avLst/>
                    </a:prstGeom>
                  </pic:spPr>
                </pic:pic>
              </a:graphicData>
            </a:graphic>
          </wp:inline>
        </w:drawing>
      </w:r>
    </w:p>
    <w:p w14:paraId="6637B6AF" w14:textId="53089A5D" w:rsidR="008B7007" w:rsidRPr="00C22AD4" w:rsidRDefault="006F0F58">
      <w:pPr>
        <w:rPr>
          <w:sz w:val="20"/>
          <w:szCs w:val="20"/>
        </w:rPr>
      </w:pPr>
      <w:r w:rsidRPr="00C22AD4">
        <w:rPr>
          <w:sz w:val="20"/>
          <w:szCs w:val="20"/>
        </w:rPr>
        <w:t xml:space="preserve">Figure: </w:t>
      </w:r>
      <w:r w:rsidR="001D7FA7" w:rsidRPr="00C22AD4">
        <w:rPr>
          <w:b/>
          <w:bCs/>
          <w:sz w:val="20"/>
          <w:szCs w:val="20"/>
        </w:rPr>
        <w:t>A)</w:t>
      </w:r>
      <w:r w:rsidR="001D7FA7" w:rsidRPr="00C22AD4">
        <w:rPr>
          <w:sz w:val="20"/>
          <w:szCs w:val="20"/>
        </w:rPr>
        <w:t xml:space="preserve"> RNA sequencing analyses, heatmaps show relative changes in expression (log2 fold change) </w:t>
      </w:r>
      <w:r w:rsidR="008A37F6" w:rsidRPr="00C22AD4">
        <w:rPr>
          <w:sz w:val="20"/>
          <w:szCs w:val="20"/>
        </w:rPr>
        <w:t xml:space="preserve">in </w:t>
      </w:r>
      <w:proofErr w:type="spellStart"/>
      <w:r w:rsidR="008A37F6" w:rsidRPr="00C22AD4">
        <w:rPr>
          <w:sz w:val="20"/>
          <w:szCs w:val="20"/>
        </w:rPr>
        <w:t>EpCAM</w:t>
      </w:r>
      <w:proofErr w:type="spellEnd"/>
      <w:r w:rsidR="008A37F6" w:rsidRPr="00C22AD4">
        <w:rPr>
          <w:sz w:val="20"/>
          <w:szCs w:val="20"/>
        </w:rPr>
        <w:t xml:space="preserve">+ (left) and </w:t>
      </w:r>
      <w:proofErr w:type="spellStart"/>
      <w:r w:rsidR="008A37F6" w:rsidRPr="00C22AD4">
        <w:rPr>
          <w:sz w:val="20"/>
          <w:szCs w:val="20"/>
        </w:rPr>
        <w:t>EpCAM</w:t>
      </w:r>
      <w:proofErr w:type="spellEnd"/>
      <w:r w:rsidR="008A37F6" w:rsidRPr="00C22AD4">
        <w:rPr>
          <w:sz w:val="20"/>
          <w:szCs w:val="20"/>
        </w:rPr>
        <w:t>- (right) cell populations. Gene set enrichment reveals</w:t>
      </w:r>
      <w:r w:rsidR="007A276B" w:rsidRPr="00C22AD4">
        <w:rPr>
          <w:sz w:val="20"/>
          <w:szCs w:val="20"/>
        </w:rPr>
        <w:t xml:space="preserve"> upregulated and downregulated pathways in driving the formation of the two cell populations (right panel). </w:t>
      </w:r>
      <w:r w:rsidR="007A276B" w:rsidRPr="00C22AD4">
        <w:rPr>
          <w:b/>
          <w:bCs/>
          <w:sz w:val="20"/>
          <w:szCs w:val="20"/>
        </w:rPr>
        <w:t>B)</w:t>
      </w:r>
      <w:r w:rsidR="007A276B" w:rsidRPr="00C22AD4">
        <w:rPr>
          <w:sz w:val="20"/>
          <w:szCs w:val="20"/>
        </w:rPr>
        <w:t xml:space="preserve"> </w:t>
      </w:r>
      <w:r w:rsidR="00403A61" w:rsidRPr="00C22AD4">
        <w:rPr>
          <w:sz w:val="20"/>
          <w:szCs w:val="20"/>
        </w:rPr>
        <w:t xml:space="preserve">Left: </w:t>
      </w:r>
      <w:r w:rsidR="0052331A" w:rsidRPr="00C22AD4">
        <w:rPr>
          <w:sz w:val="20"/>
          <w:szCs w:val="20"/>
        </w:rPr>
        <w:t xml:space="preserve">GFP fluorescence was observed </w:t>
      </w:r>
      <w:r w:rsidR="00403A61" w:rsidRPr="00C22AD4">
        <w:rPr>
          <w:sz w:val="20"/>
          <w:szCs w:val="20"/>
        </w:rPr>
        <w:t>in IPSCs confirming incorporation of the CRISPR plasmid. Middle</w:t>
      </w:r>
      <w:r w:rsidR="00AF3E4D" w:rsidRPr="00C22AD4">
        <w:rPr>
          <w:sz w:val="20"/>
          <w:szCs w:val="20"/>
        </w:rPr>
        <w:t>/Right</w:t>
      </w:r>
      <w:r w:rsidR="00403A61" w:rsidRPr="00C22AD4">
        <w:rPr>
          <w:sz w:val="20"/>
          <w:szCs w:val="20"/>
        </w:rPr>
        <w:t xml:space="preserve">: representative flow cytometry histograms </w:t>
      </w:r>
      <w:r w:rsidR="006177E4" w:rsidRPr="00C22AD4">
        <w:rPr>
          <w:sz w:val="20"/>
          <w:szCs w:val="20"/>
        </w:rPr>
        <w:t xml:space="preserve">showing </w:t>
      </w:r>
      <w:proofErr w:type="spellStart"/>
      <w:r w:rsidR="006177E4" w:rsidRPr="00C22AD4">
        <w:rPr>
          <w:sz w:val="20"/>
          <w:szCs w:val="20"/>
        </w:rPr>
        <w:t>EpCAM</w:t>
      </w:r>
      <w:proofErr w:type="spellEnd"/>
      <w:r w:rsidR="006177E4" w:rsidRPr="00C22AD4">
        <w:rPr>
          <w:sz w:val="20"/>
          <w:szCs w:val="20"/>
        </w:rPr>
        <w:t xml:space="preserve"> expression in</w:t>
      </w:r>
      <w:r w:rsidR="00403A61" w:rsidRPr="00C22AD4">
        <w:rPr>
          <w:sz w:val="20"/>
          <w:szCs w:val="20"/>
        </w:rPr>
        <w:t xml:space="preserve"> </w:t>
      </w:r>
      <w:r w:rsidR="007E65F8" w:rsidRPr="00C22AD4">
        <w:rPr>
          <w:sz w:val="20"/>
          <w:szCs w:val="20"/>
        </w:rPr>
        <w:t>control (WT, black) and APC-knockout (</w:t>
      </w:r>
      <w:proofErr w:type="spellStart"/>
      <w:r w:rsidR="007E65F8" w:rsidRPr="00C22AD4">
        <w:rPr>
          <w:sz w:val="20"/>
          <w:szCs w:val="20"/>
        </w:rPr>
        <w:t>Δ</w:t>
      </w:r>
      <w:proofErr w:type="gramStart"/>
      <w:r w:rsidR="007E65F8" w:rsidRPr="00C22AD4">
        <w:rPr>
          <w:sz w:val="20"/>
          <w:szCs w:val="20"/>
        </w:rPr>
        <w:t>APC,red</w:t>
      </w:r>
      <w:proofErr w:type="spellEnd"/>
      <w:proofErr w:type="gramEnd"/>
      <w:r w:rsidR="007E65F8" w:rsidRPr="00C22AD4">
        <w:rPr>
          <w:sz w:val="20"/>
          <w:szCs w:val="20"/>
        </w:rPr>
        <w:t>) IPSCs following differentiation to intestinal mucosal populations</w:t>
      </w:r>
      <w:r w:rsidR="00AF3E4D" w:rsidRPr="00C22AD4">
        <w:rPr>
          <w:sz w:val="20"/>
          <w:szCs w:val="20"/>
        </w:rPr>
        <w:t xml:space="preserve">. Graph is summary data of </w:t>
      </w:r>
      <w:r w:rsidR="00D00D6E" w:rsidRPr="00C22AD4">
        <w:rPr>
          <w:sz w:val="20"/>
          <w:szCs w:val="20"/>
        </w:rPr>
        <w:t xml:space="preserve">median fluorescent intensity readings (error bars = standard deviation, n=3, **=p&lt;0.01). </w:t>
      </w:r>
      <w:r w:rsidR="00D00D6E" w:rsidRPr="00C22AD4">
        <w:rPr>
          <w:b/>
          <w:bCs/>
          <w:sz w:val="20"/>
          <w:szCs w:val="20"/>
        </w:rPr>
        <w:t>C)</w:t>
      </w:r>
      <w:r w:rsidR="00D00D6E" w:rsidRPr="00C22AD4">
        <w:rPr>
          <w:sz w:val="20"/>
          <w:szCs w:val="20"/>
        </w:rPr>
        <w:t xml:space="preserve"> Representative images from organotypic cultures of </w:t>
      </w:r>
      <w:r w:rsidR="001A5342" w:rsidRPr="00C22AD4">
        <w:rPr>
          <w:sz w:val="20"/>
          <w:szCs w:val="20"/>
        </w:rPr>
        <w:t>intestinal mucosal cells derived from control or ΔAPC IPSCs</w:t>
      </w:r>
      <w:r w:rsidR="00C22AD4" w:rsidRPr="00C22AD4">
        <w:rPr>
          <w:sz w:val="20"/>
          <w:szCs w:val="20"/>
        </w:rPr>
        <w:t>, in baseline culture medium or addition of TGF-β.</w:t>
      </w:r>
    </w:p>
    <w:p w14:paraId="15D90454" w14:textId="77777777" w:rsidR="00161276" w:rsidRDefault="00161276"/>
    <w:sectPr w:rsidR="0016127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B3B"/>
    <w:rsid w:val="00030980"/>
    <w:rsid w:val="00066669"/>
    <w:rsid w:val="00071803"/>
    <w:rsid w:val="00090F1D"/>
    <w:rsid w:val="00142D95"/>
    <w:rsid w:val="001504FE"/>
    <w:rsid w:val="001568AD"/>
    <w:rsid w:val="00161276"/>
    <w:rsid w:val="001623BC"/>
    <w:rsid w:val="001743AF"/>
    <w:rsid w:val="001823F0"/>
    <w:rsid w:val="001A5342"/>
    <w:rsid w:val="001C58EE"/>
    <w:rsid w:val="001D63DA"/>
    <w:rsid w:val="001D7FA7"/>
    <w:rsid w:val="001F66B3"/>
    <w:rsid w:val="002106AF"/>
    <w:rsid w:val="00211BDB"/>
    <w:rsid w:val="00230DFD"/>
    <w:rsid w:val="002643BC"/>
    <w:rsid w:val="002A145D"/>
    <w:rsid w:val="002A49C4"/>
    <w:rsid w:val="002E75FE"/>
    <w:rsid w:val="002E7FB2"/>
    <w:rsid w:val="003319A5"/>
    <w:rsid w:val="003360D4"/>
    <w:rsid w:val="00353075"/>
    <w:rsid w:val="00373000"/>
    <w:rsid w:val="003942E6"/>
    <w:rsid w:val="003C07CC"/>
    <w:rsid w:val="003C55FA"/>
    <w:rsid w:val="00403A61"/>
    <w:rsid w:val="0041246D"/>
    <w:rsid w:val="004208A5"/>
    <w:rsid w:val="004C3441"/>
    <w:rsid w:val="00512D93"/>
    <w:rsid w:val="0052331A"/>
    <w:rsid w:val="00533CBF"/>
    <w:rsid w:val="0054339D"/>
    <w:rsid w:val="00564EBE"/>
    <w:rsid w:val="00580818"/>
    <w:rsid w:val="005E4C9E"/>
    <w:rsid w:val="006177E4"/>
    <w:rsid w:val="00630687"/>
    <w:rsid w:val="00666704"/>
    <w:rsid w:val="00681819"/>
    <w:rsid w:val="006C7099"/>
    <w:rsid w:val="006C7338"/>
    <w:rsid w:val="006D71C2"/>
    <w:rsid w:val="006F0F58"/>
    <w:rsid w:val="006F1EA1"/>
    <w:rsid w:val="007219D1"/>
    <w:rsid w:val="007457A0"/>
    <w:rsid w:val="0075746A"/>
    <w:rsid w:val="007800E2"/>
    <w:rsid w:val="007A276B"/>
    <w:rsid w:val="007B5B38"/>
    <w:rsid w:val="007B728C"/>
    <w:rsid w:val="007D0FA9"/>
    <w:rsid w:val="007D2A23"/>
    <w:rsid w:val="007E65F8"/>
    <w:rsid w:val="00801200"/>
    <w:rsid w:val="00805736"/>
    <w:rsid w:val="00826BBA"/>
    <w:rsid w:val="00891557"/>
    <w:rsid w:val="008942ED"/>
    <w:rsid w:val="008A1423"/>
    <w:rsid w:val="008A37F6"/>
    <w:rsid w:val="008B7007"/>
    <w:rsid w:val="008D54B8"/>
    <w:rsid w:val="008F1E2E"/>
    <w:rsid w:val="00907A27"/>
    <w:rsid w:val="009155A1"/>
    <w:rsid w:val="00917001"/>
    <w:rsid w:val="00970B3B"/>
    <w:rsid w:val="00977C3E"/>
    <w:rsid w:val="009B465E"/>
    <w:rsid w:val="009C28A0"/>
    <w:rsid w:val="00A11483"/>
    <w:rsid w:val="00A34059"/>
    <w:rsid w:val="00A366F1"/>
    <w:rsid w:val="00A521EA"/>
    <w:rsid w:val="00A66D86"/>
    <w:rsid w:val="00A817E1"/>
    <w:rsid w:val="00A85B3B"/>
    <w:rsid w:val="00AA1CAE"/>
    <w:rsid w:val="00AA6451"/>
    <w:rsid w:val="00AC0D2D"/>
    <w:rsid w:val="00AF3E4D"/>
    <w:rsid w:val="00B1359E"/>
    <w:rsid w:val="00B40852"/>
    <w:rsid w:val="00B60970"/>
    <w:rsid w:val="00B647A8"/>
    <w:rsid w:val="00B9658E"/>
    <w:rsid w:val="00BD5525"/>
    <w:rsid w:val="00BE6F65"/>
    <w:rsid w:val="00C22AD4"/>
    <w:rsid w:val="00C24BED"/>
    <w:rsid w:val="00C37356"/>
    <w:rsid w:val="00C42D5F"/>
    <w:rsid w:val="00C475E7"/>
    <w:rsid w:val="00C5612A"/>
    <w:rsid w:val="00C612B3"/>
    <w:rsid w:val="00C77F95"/>
    <w:rsid w:val="00C84794"/>
    <w:rsid w:val="00C87979"/>
    <w:rsid w:val="00C9311B"/>
    <w:rsid w:val="00D00D6E"/>
    <w:rsid w:val="00D110A4"/>
    <w:rsid w:val="00D161E5"/>
    <w:rsid w:val="00D45302"/>
    <w:rsid w:val="00D51221"/>
    <w:rsid w:val="00D55B73"/>
    <w:rsid w:val="00D70FCA"/>
    <w:rsid w:val="00D92C78"/>
    <w:rsid w:val="00D968AC"/>
    <w:rsid w:val="00DC084D"/>
    <w:rsid w:val="00DC3308"/>
    <w:rsid w:val="00DF602C"/>
    <w:rsid w:val="00E03939"/>
    <w:rsid w:val="00E50915"/>
    <w:rsid w:val="00E572B4"/>
    <w:rsid w:val="00E916C1"/>
    <w:rsid w:val="00ED0950"/>
    <w:rsid w:val="00ED258D"/>
    <w:rsid w:val="00ED3067"/>
    <w:rsid w:val="00F06FDD"/>
    <w:rsid w:val="00F07B82"/>
    <w:rsid w:val="00F45BE4"/>
    <w:rsid w:val="00F50AFA"/>
    <w:rsid w:val="00F976A0"/>
    <w:rsid w:val="00FC1A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892AF1"/>
  <w15:chartTrackingRefBased/>
  <w15:docId w15:val="{D0A6ECAE-B923-4039-9E80-6339A5901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5B3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em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A496C9B842B584D85A4379CC361BA2D" ma:contentTypeVersion="13" ma:contentTypeDescription="Create a new document." ma:contentTypeScope="" ma:versionID="a9690324733acf95ee3db53688e21db7">
  <xsd:schema xmlns:xsd="http://www.w3.org/2001/XMLSchema" xmlns:xs="http://www.w3.org/2001/XMLSchema" xmlns:p="http://schemas.microsoft.com/office/2006/metadata/properties" xmlns:ns2="2a4105e2-fc24-4f17-90a9-80f8df7d569e" xmlns:ns3="2c9c012c-8084-45d3-9476-625178f4a32b" targetNamespace="http://schemas.microsoft.com/office/2006/metadata/properties" ma:root="true" ma:fieldsID="fb0e46a495d526948d893d995fbfa420" ns2:_="" ns3:_="">
    <xsd:import namespace="2a4105e2-fc24-4f17-90a9-80f8df7d569e"/>
    <xsd:import namespace="2c9c012c-8084-45d3-9476-625178f4a32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4105e2-fc24-4f17-90a9-80f8df7d56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c9c012c-8084-45d3-9476-625178f4a32b"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83D597E-099A-48EA-8F3C-B506965FB6F6}">
  <ds:schemaRefs>
    <ds:schemaRef ds:uri="http://www.w3.org/XML/1998/namespace"/>
    <ds:schemaRef ds:uri="http://schemas.openxmlformats.org/package/2006/metadata/core-properties"/>
    <ds:schemaRef ds:uri="1685922b-b88b-4173-b0f8-b37a430c3539"/>
    <ds:schemaRef ds:uri="http://schemas.microsoft.com/office/2006/metadata/properties"/>
    <ds:schemaRef ds:uri="http://purl.org/dc/dcmitype/"/>
    <ds:schemaRef ds:uri="http://purl.org/dc/elements/1.1/"/>
    <ds:schemaRef ds:uri="http://schemas.microsoft.com/office/2006/documentManagement/types"/>
    <ds:schemaRef ds:uri="71ba1660-6486-4615-8800-fe251dd78db8"/>
    <ds:schemaRef ds:uri="http://schemas.microsoft.com/office/infopath/2007/PartnerControls"/>
    <ds:schemaRef ds:uri="http://purl.org/dc/terms/"/>
  </ds:schemaRefs>
</ds:datastoreItem>
</file>

<file path=customXml/itemProps2.xml><?xml version="1.0" encoding="utf-8"?>
<ds:datastoreItem xmlns:ds="http://schemas.openxmlformats.org/officeDocument/2006/customXml" ds:itemID="{A289FF50-E059-453B-819D-9E8C862F8233}">
  <ds:schemaRefs>
    <ds:schemaRef ds:uri="http://schemas.microsoft.com/sharepoint/v3/contenttype/forms"/>
  </ds:schemaRefs>
</ds:datastoreItem>
</file>

<file path=customXml/itemProps3.xml><?xml version="1.0" encoding="utf-8"?>
<ds:datastoreItem xmlns:ds="http://schemas.openxmlformats.org/officeDocument/2006/customXml" ds:itemID="{6533C9EC-3F15-482B-83B2-C692D286F8A4}"/>
</file>

<file path=docProps/app.xml><?xml version="1.0" encoding="utf-8"?>
<Properties xmlns="http://schemas.openxmlformats.org/officeDocument/2006/extended-properties" xmlns:vt="http://schemas.openxmlformats.org/officeDocument/2006/docPropsVTypes">
  <Template>Normal</Template>
  <TotalTime>1</TotalTime>
  <Pages>4</Pages>
  <Words>1369</Words>
  <Characters>7807</Characters>
  <Application>Microsoft Office Word</Application>
  <DocSecurity>4</DocSecurity>
  <Lines>65</Lines>
  <Paragraphs>18</Paragraphs>
  <ScaleCrop>false</ScaleCrop>
  <Company/>
  <LinksUpToDate>false</LinksUpToDate>
  <CharactersWithSpaces>9158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Dalleywater</dc:creator>
  <cp:keywords/>
  <dc:description/>
  <cp:lastModifiedBy>Julie Johnstone</cp:lastModifiedBy>
  <cp:revision>2</cp:revision>
  <dcterms:created xsi:type="dcterms:W3CDTF">2021-09-08T13:29:00Z</dcterms:created>
  <dcterms:modified xsi:type="dcterms:W3CDTF">2021-09-08T13:29:00Z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0x0101008A496C9B842B584D85A4379CC361BA2D</vt:lpwstr>
  </property>
</Properties>
</file>